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51</w:t>
      </w:r>
    </w:p>
    <w:p>
      <w:r>
        <w:t>Bundesgericht (BGE), 1983-01-01, FR</w:t>
      </w:r>
    </w:p>
    <w:p>
      <w:r>
        <w:rPr>
          <w:b/>
        </w:rPr>
        <w:t xml:space="preserve">Quelle: </w:t>
      </w:r>
      <w:r>
        <w:t>https://mcp.opencaselaw.ch/entscheid/bge_109 IV 51</w:t>
      </w:r>
    </w:p>
    <w:p>
      <w:r>
        <w:t>FR: ATF 109 IV 51</w:t>
      </w:r>
    </w:p>
    <w:p>
      <w:r>
        <w:t>IT: DTF 109 IV 51</w:t>
      </w:r>
    </w:p>
    <w:p>
      <w:pPr>
        <w:pStyle w:val="Heading2"/>
      </w:pPr>
      <w:r>
        <w:t>Regeste</w:t>
      </w:r>
    </w:p>
    <w:p>
      <w:r>
        <w:t>Regeste 1. Art. 86 Abs. 3 OG; freiwillige Erschöpfung des kantonalen Instanzenzuges. Wer von der in Art. 86 Abs. 3 OG vorgesehenen Möglichkeit Gebrauch macht, verliert diejenige den erstinstanzlichen Entscheid anzufechten, es sei denn, die obere kantonale Instanz habe nur eine beschränkte Überprüfungsbefugnis (E. 1b). 2. Art. 24 BetmG; Einziehung von Vermögensvorteilen, die aus verbotenem Betäubungsmittelhandel im Ausland stammen und in der Schweiz angelegt wurden. Die zuständigen kantonalen Behörden - im konkreten Fall diejenigen des Kantons Genf - können eine solche Einziehung anordnen, selbst wenn keines der in Art. 3 bis 6 StGB genannten Anknüpfungskriterien gegeben ist (E. 2).</w:t>
      </w:r>
    </w:p>
    <w:p>
      <w:pPr>
        <w:pStyle w:val="Heading2"/>
      </w:pPr>
      <w:r>
        <w:t>Erwägungen</w:t>
      </w:r>
    </w:p>
    <w:p>
      <w:r>
        <w:rPr>
          <w:b/>
        </w:rPr>
        <w:t>E. 1</w:t>
      </w:r>
    </w:p>
    <w:p>
      <w:r>
        <w:t>a) (Irrecevabilité de moyens de droit nouveaux dans les recours pour arbitraire.) b) Les recours de droit public fondés sur l'art. 84 al. 1 lettre d OJ peuvent être formés sans épuisement préalable des instances cantonales ( ATF 107 Ia 173 consid. 2b, ATF 106 Ia 146 consid. b et arrêts cités). L' art 86 al. 3 OJ permet toutefois à celui qui veut agir par cette voie de droit d'épuiser d'abord les moyens de droit cantonal. C'est ce qu'a fait la recourante. Or, celui qui use de cette faculté perd celle de s'en prendre à la décision de l'autorité cantonale de première instance, à moins que l'autorité supérieure cantonale à laquelle il s'est adressé n'ait qu'un pouvoir d'examen limité. Cette exception n'est pas réalisée ici. En effet, saisie d'un recours contre une ordonnance du Juge d'instruction au sens des art. 190 ss CPP gen., la Chambre d'accusation dispose d'un pouvoir d'examen illimité en fait et en droit. Sa décision remplace donc celle de l'autorité de première instance. Il en résulte que le recours de droit public est irrecevable dans la mesure où il est dirigé contre l'ordonnance du Juge d'instruction rendue le 12 août 1981. c) (Le Tribunal fédéral doit se borner à examiner si l' art. 24 LStup a été correctement appliqué. Pour cela, il dispose d'un libre pouvoir d'examen. Il n'a pas à se prononcer en l'espèce sur une prétendue violation de l' art 58 CP .)</w:t>
      </w:r>
    </w:p>
    <w:p>
      <w:r>
        <w:rPr>
          <w:b/>
        </w:rPr>
        <w:t>E. 2</w:t>
      </w:r>
    </w:p>
    <w:p>
      <w:r>
        <w:t>L' art. 24 LStup prescrit que les avantages pécuniaires illicites qui se trouvent en Suisse seront également acquis à l'Etat lorsque l'infraction aura été commise à l'étranger. A défaut de for selon l' art. 348 CP , le canton dans lequel se trouvent les biens est compétent pour la confiscation. Selon la recourante, cette disposition n'aurait pas été introduite pour déroger aux règles générales de compétence posées aux art. 3 à 6 CP, mais simplement pour définir le for en matière de saisie d'avantages pécuniaires illicites résultant du trafic des stupéfiants et combler ainsi une lacune de l' art. 348 CP , lequel ne définirait le for que vis-à-vis des personnes à juger mais non des objets à confisquer. La loi fédérale sur les stupéfiants du 3 octobre 1951 a été modifiée une première fois par une novelle du 10 décembre 1968, entrée en vigueur le 1er janvier 1970. Cette novelle avait pour but d'adapter le droit interne à la Convention unique sur les stupéfiants conclue à New York le 30 mars 1961, qui remplaçait toutes les BGE 109 IV 51 S. 54 conventions internationales, à une seule exception, conclues par la Suisse depuis 1912 (Message du Conseil fédéral, FF 1968 I p. 784 ss). Bien que la Suisse l'ait signée le 20 avril 1961 déjà, la Convention unique n'a pu être ratifiée que le 23 janvier 1970, soit après l'entrée en vigueur de la novelle qui a créé les conditions juridiques permettant cette ratification. Une deuxième modification a été le fait de la novelle du 20 mars 1975, entrée en vigueur le 1er août 1975. Contrairement à ce qui paraît être l'opinion de l'autorité intimée et de la recourante, cette modification n'a évidemment pas eu pour but d'adapter la législation nationale au droit international public, mais de tenir compte de l'évolution rapide de la société et des applications scientifiques en la matière (FF 1973 I p. 1303 ss). L'un des points importants de cette révision a été de modifier les dispositions répressives de la loi en allégeant les peines infligées aux consommateurs et en aggravant celles prévues pour les trafiquants. C'est dans ce contexte que l' art. 24 LStup , dans sa teneur actuelle, a été introduit. Les travaux préparatoires démontrent clairement que le législateur a voulu instituer des règles spéciales de confiscation pour le produit de ce type particulier d'infractions. Il s'agit fondamentalement de permettre la saisie des bénéfices du trafic illicite de stupéfiants à l'étranger, qui seraient placés en Suisse. L'art. 24 al. 2 du projet (l'actuel art. 24 première phrase) vise à empêcher que l'auteur qui aura agi à l'étranger ne reste, le cas échéant, en possession d'avantages pécuniaires illicites, les accords internationaux sur l'extradition de telles valeurs étant naturellement réservés (FF 1973 p. 1307 lettre d et p. 1323 ad art. 24). La confiscation de ces avantages illicites doit intervenir sans que l'on prenne en considération les circonstances de l'infraction, en particulier le fait que celle-ci a été commise à l'étranger et qu'elle n'est pas punissable en Suisse (Bst./CE 1973 p. 710). La modification de l'art. 24 du projet, décidée au cours des débats parlementaires, illustre cette intention du législateur. Dans le projet du Conseil fédéral, l'art. 24 comportait deux alinéas. L'alinéa premier prescrivait la dévolution à l'Etat de tout avantage pécuniaire illicite découlant d'une infraction au sens des art. 19 à 22; l'alinéa 2 avait, on l'a vu, une teneur identique à la première phrase de l'art. 24 actuel. Or, l'alinéa premier a été biffé parce qu'il ne donnait pas à l'autorité des moyens supérieurs à ceux qui lui étaient désormais offerts par les art. 58, nouvelle teneur, et 58bis CP qui devaient entrer en vigueur le 1er janvier 1975. En revanche, BGE 109 IV 51 S. 55 l'alinéa 2 a été maintenu comme tel, évidemment parce qu'il allait au delà de ces deux dispositions du droit commun. En outre, on y a ajouté une phrase relative au for, pour les cas où l' art. 348 CP ne donnerait pas de solution. Cette adjonction confirme que l'art. 24, 1re phrase, LStup s'applique à tous les avantages pécuniaires illicites qui se trouvent en Suisse et qui découlent d'une infraction commise à l'étranger, alors même qu'aucun des critères de rattachement des art. 3 à 6 CP n'est réalisé. S'il n'en allait pas ainsi, l'adjonction de la deuxième phrase de l'art. 24 eût été inutile, puisque l' art. 348 CP résout la question du for lorsqu'une infraction commise à l'étranger est punissable en Suisse (BSt./CE 1974 p. 599, CN 1974 p. 1460). Il résulte de ce qui précède que l' art. 24 LStup donne la compétence aux autorités genevoises de saisir, en vue de leur dévolution ultérieure à l'Etat, des avantages pécuniaires illicites qui se trouveraient à Genève et proviendraient d'un trafic de stupéfiants commis à l'étranger, alors même que l'auteur ne pourrait être puni en Suisse en vertu des art. 3 à 6 CP. La thèse contraire soutenue par la recourante pour faire échec à l'ordonnance rendue contre elle par le Juge d'instruction et confirmée par la Chambre d'accusation est dénuée de tout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